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Per l’anno 2025 La Relazione non risulta ancora validata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